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3DEA" w14:textId="77777777" w:rsidR="001D10C8" w:rsidRDefault="00000000">
      <w:pPr>
        <w:pStyle w:val="NoSpacing"/>
        <w:jc w:val="center"/>
      </w:pPr>
      <w:r>
        <w:rPr>
          <w:b/>
          <w:sz w:val="24"/>
          <w:szCs w:val="24"/>
        </w:rPr>
        <w:t>OREGON CHAPTER AMERICAN FISHERIES SOCIETY</w:t>
      </w:r>
    </w:p>
    <w:p w14:paraId="2DC63C9C" w14:textId="77777777" w:rsidR="001D10C8" w:rsidRDefault="00000000">
      <w:pPr>
        <w:pStyle w:val="NoSpacing"/>
        <w:jc w:val="center"/>
      </w:pPr>
      <w:r>
        <w:rPr>
          <w:b/>
          <w:sz w:val="24"/>
          <w:szCs w:val="24"/>
        </w:rPr>
        <w:t>DIVERSITY, EQUITY &amp; INCLUSION COMMITTEE WORK PLAN</w:t>
      </w:r>
    </w:p>
    <w:p w14:paraId="290FF73A" w14:textId="77777777" w:rsidR="001D10C8" w:rsidRDefault="00000000">
      <w:pPr>
        <w:pStyle w:val="NoSpacing"/>
        <w:jc w:val="center"/>
      </w:pPr>
      <w:r>
        <w:rPr>
          <w:sz w:val="24"/>
          <w:szCs w:val="24"/>
        </w:rPr>
        <w:t>July 1</w:t>
      </w:r>
      <w:r>
        <w:rPr>
          <w:sz w:val="24"/>
          <w:szCs w:val="24"/>
          <w:vertAlign w:val="superscript"/>
        </w:rPr>
        <w:t>st</w:t>
      </w:r>
      <w:proofErr w:type="gramStart"/>
      <w:r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 – June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2024</w:t>
      </w:r>
    </w:p>
    <w:p w14:paraId="648C3BA4" w14:textId="77777777" w:rsidR="001D10C8" w:rsidRDefault="001D10C8">
      <w:pPr>
        <w:pStyle w:val="NoSpacing"/>
        <w:jc w:val="center"/>
        <w:rPr>
          <w:sz w:val="24"/>
          <w:szCs w:val="24"/>
        </w:rPr>
      </w:pPr>
    </w:p>
    <w:p w14:paraId="72D8FF08" w14:textId="77777777" w:rsidR="001D10C8" w:rsidRDefault="00000000">
      <w:pPr>
        <w:pStyle w:val="NoSpacing"/>
        <w:jc w:val="center"/>
      </w:pPr>
      <w:r>
        <w:rPr>
          <w:sz w:val="24"/>
          <w:szCs w:val="24"/>
        </w:rPr>
        <w:t>Committee Chair: Guillermo Giannico</w:t>
      </w:r>
    </w:p>
    <w:p w14:paraId="09BCCACC" w14:textId="77777777" w:rsidR="001D10C8" w:rsidRDefault="001D10C8">
      <w:pPr>
        <w:pStyle w:val="NoSpacing"/>
        <w:jc w:val="center"/>
        <w:rPr>
          <w:sz w:val="24"/>
          <w:szCs w:val="24"/>
        </w:rPr>
      </w:pPr>
    </w:p>
    <w:p w14:paraId="2ABCB560" w14:textId="77777777" w:rsidR="001D10C8" w:rsidRDefault="00000000">
      <w:pPr>
        <w:pStyle w:val="NoSpacing"/>
        <w:jc w:val="center"/>
      </w:pPr>
      <w:r>
        <w:rPr>
          <w:sz w:val="24"/>
          <w:szCs w:val="24"/>
        </w:rPr>
        <w:t xml:space="preserve">Contributors: Adrienne </w:t>
      </w:r>
      <w:proofErr w:type="spellStart"/>
      <w:r>
        <w:rPr>
          <w:sz w:val="24"/>
          <w:szCs w:val="24"/>
        </w:rPr>
        <w:t>Averett</w:t>
      </w:r>
      <w:proofErr w:type="spellEnd"/>
      <w:r>
        <w:rPr>
          <w:sz w:val="24"/>
          <w:szCs w:val="24"/>
        </w:rPr>
        <w:t xml:space="preserve">, Ryan Branstetter, Ben Clemens, Denny </w:t>
      </w:r>
      <w:proofErr w:type="spellStart"/>
      <w:r>
        <w:rPr>
          <w:sz w:val="24"/>
          <w:szCs w:val="24"/>
        </w:rPr>
        <w:t>Lassuy</w:t>
      </w:r>
      <w:proofErr w:type="spellEnd"/>
      <w:r>
        <w:rPr>
          <w:sz w:val="24"/>
          <w:szCs w:val="24"/>
        </w:rPr>
        <w:t>, Christine Moffit.</w:t>
      </w:r>
    </w:p>
    <w:p w14:paraId="2486DF5F" w14:textId="77777777" w:rsidR="001D10C8" w:rsidRDefault="001D10C8">
      <w:pPr>
        <w:pStyle w:val="NoSpacing"/>
        <w:jc w:val="center"/>
        <w:rPr>
          <w:sz w:val="24"/>
          <w:szCs w:val="24"/>
        </w:rPr>
      </w:pPr>
    </w:p>
    <w:p w14:paraId="6533FB87" w14:textId="77777777" w:rsidR="001D10C8" w:rsidRDefault="00000000">
      <w:pPr>
        <w:pStyle w:val="NoSpacing"/>
      </w:pPr>
      <w:r>
        <w:rPr>
          <w:b/>
          <w:bCs/>
          <w:sz w:val="24"/>
          <w:szCs w:val="24"/>
        </w:rPr>
        <w:t>Mission</w:t>
      </w:r>
    </w:p>
    <w:p w14:paraId="164556D7" w14:textId="77777777" w:rsidR="001D10C8" w:rsidRDefault="001D10C8">
      <w:pPr>
        <w:pStyle w:val="NoSpacing"/>
        <w:jc w:val="center"/>
        <w:rPr>
          <w:sz w:val="24"/>
          <w:szCs w:val="24"/>
        </w:rPr>
      </w:pPr>
    </w:p>
    <w:p w14:paraId="7D21460D" w14:textId="77777777" w:rsidR="001D10C8" w:rsidRDefault="00000000">
      <w:pPr>
        <w:pStyle w:val="NoSpacing"/>
      </w:pPr>
      <w:r>
        <w:rPr>
          <w:i/>
          <w:iCs/>
          <w:sz w:val="24"/>
          <w:szCs w:val="24"/>
        </w:rPr>
        <w:t>Improve the conservation and sustainability of Oregon fishery resources and their aquatic ecosystems for long-term public benefit by advancing science, education, and public discourse concerning fisheries and aquatic science and by promoting the development of fisheries professionals.</w:t>
      </w:r>
    </w:p>
    <w:p w14:paraId="008959A9" w14:textId="77777777" w:rsidR="001D10C8" w:rsidRDefault="001D10C8">
      <w:pPr>
        <w:pStyle w:val="NoSpacing"/>
        <w:rPr>
          <w:i/>
          <w:iCs/>
          <w:sz w:val="24"/>
          <w:szCs w:val="24"/>
        </w:rPr>
      </w:pPr>
    </w:p>
    <w:p w14:paraId="30416277" w14:textId="77777777" w:rsidR="001D10C8" w:rsidRDefault="00000000">
      <w:pPr>
        <w:pStyle w:val="NoSpacing"/>
      </w:pPr>
      <w:r>
        <w:rPr>
          <w:b/>
          <w:bCs/>
          <w:sz w:val="24"/>
          <w:szCs w:val="24"/>
        </w:rPr>
        <w:t>2020 – 2025 Vision</w:t>
      </w:r>
    </w:p>
    <w:p w14:paraId="576B404E" w14:textId="77777777" w:rsidR="001D10C8" w:rsidRDefault="00000000">
      <w:pPr>
        <w:pStyle w:val="NoSpacing"/>
      </w:pPr>
      <w:r>
        <w:rPr>
          <w:sz w:val="24"/>
          <w:szCs w:val="24"/>
        </w:rPr>
        <w:t xml:space="preserve">The Diversity, Equity, &amp; Inclusion Committee is key to advancing the </w:t>
      </w:r>
      <w:hyperlink r:id="rId7" w:history="1">
        <w:r>
          <w:rPr>
            <w:sz w:val="24"/>
            <w:szCs w:val="24"/>
          </w:rPr>
          <w:t>Chapter’s 2020 – 2025 Strategic Plan</w:t>
        </w:r>
      </w:hyperlink>
      <w:r>
        <w:rPr>
          <w:sz w:val="24"/>
          <w:szCs w:val="24"/>
        </w:rPr>
        <w:t xml:space="preserve"> Vision, specifically Operational Pillar #1 of Promoting an inclusive and equitable professional environment to create and maintain a diverse membership (Objectives 1, 3, 4, 5, and 6).  </w:t>
      </w:r>
    </w:p>
    <w:p w14:paraId="488EC3D8" w14:textId="77777777" w:rsidR="001D10C8" w:rsidRDefault="001D10C8">
      <w:pPr>
        <w:pStyle w:val="NoSpacing"/>
        <w:rPr>
          <w:sz w:val="24"/>
          <w:szCs w:val="24"/>
        </w:rPr>
      </w:pPr>
    </w:p>
    <w:p w14:paraId="27FC0CFD" w14:textId="77777777" w:rsidR="001D10C8" w:rsidRDefault="00000000">
      <w:pPr>
        <w:pStyle w:val="NoSpacing"/>
      </w:pPr>
      <w:r>
        <w:rPr>
          <w:b/>
          <w:sz w:val="24"/>
          <w:szCs w:val="24"/>
        </w:rPr>
        <w:t>Objectives</w:t>
      </w:r>
    </w:p>
    <w:p w14:paraId="0B8AFF62" w14:textId="77777777" w:rsidR="001D10C8" w:rsidRDefault="001D10C8">
      <w:pPr>
        <w:pStyle w:val="NoSpacing"/>
        <w:rPr>
          <w:sz w:val="24"/>
          <w:szCs w:val="24"/>
        </w:rPr>
      </w:pPr>
    </w:p>
    <w:p w14:paraId="6E74124A" w14:textId="77777777" w:rsidR="001D10C8" w:rsidRDefault="00000000">
      <w:pPr>
        <w:pStyle w:val="Standard"/>
      </w:pPr>
      <w:r>
        <w:rPr>
          <w:sz w:val="24"/>
          <w:szCs w:val="24"/>
        </w:rPr>
        <w:t>The Diversity, Equity, &amp; Inclusion Committee works to encourage the exchange of information relevant to the promotion of recruitment, participation, employment, and education for all, by focusing on under-represented minorities in the fisheries and aquatic sciences professions. The committee will:</w:t>
      </w:r>
    </w:p>
    <w:p w14:paraId="75EE89DB" w14:textId="77777777" w:rsidR="001D10C8" w:rsidRDefault="00000000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Increase the outreach, recruitment, and retention efforts to develop a membership and leadership composition that is reflective of the human diversity in Oregon, by using appropriate methods and tools to promote the benefits of membership among under-represented groups and communities.</w:t>
      </w:r>
    </w:p>
    <w:p w14:paraId="2F46EAFD" w14:textId="77777777" w:rsidR="001D10C8" w:rsidRDefault="00000000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Increase awareness about diversity of identities, implicit bias, power relationships, and social justice in both historical and contemporary contexts in relation to the fisheries and aquatic sciences professions.</w:t>
      </w:r>
    </w:p>
    <w:p w14:paraId="1383995E" w14:textId="77777777" w:rsidR="001D10C8" w:rsidRDefault="00000000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 xml:space="preserve">Promote a welcoming and inclusive professional atmosphere at ORAFS.   </w:t>
      </w:r>
    </w:p>
    <w:p w14:paraId="0F570DCB" w14:textId="77777777" w:rsidR="001D10C8" w:rsidRDefault="00000000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Encourage members to provide articles on fisheries resources that promote and represent diverse communities.</w:t>
      </w:r>
    </w:p>
    <w:p w14:paraId="6154CB02" w14:textId="77777777" w:rsidR="001D10C8" w:rsidRDefault="00000000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Report Human Diversity Ex-Com activities semi-annually to the ORAFS External Director.</w:t>
      </w:r>
    </w:p>
    <w:p w14:paraId="72E88AA8" w14:textId="77777777" w:rsidR="001D10C8" w:rsidRDefault="00000000">
      <w:pPr>
        <w:pStyle w:val="Standard"/>
        <w:jc w:val="center"/>
      </w:pPr>
      <w:r>
        <w:rPr>
          <w:b/>
          <w:sz w:val="24"/>
          <w:szCs w:val="24"/>
        </w:rPr>
        <w:lastRenderedPageBreak/>
        <w:t>Work Plan</w:t>
      </w:r>
    </w:p>
    <w:p w14:paraId="5E1C4125" w14:textId="77777777" w:rsidR="001D10C8" w:rsidRDefault="00000000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Organize a workshop or symposium on issues related to diversity among fisheries professionals at the 60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Oregon Chapter of the American Fisheries Society – in 2024, Bend, Oregon.</w:t>
      </w:r>
    </w:p>
    <w:p w14:paraId="6E9F2B68" w14:textId="77777777" w:rsidR="001D10C8" w:rsidRDefault="00000000">
      <w:pPr>
        <w:pStyle w:val="ListParagraph"/>
        <w:numPr>
          <w:ilvl w:val="0"/>
          <w:numId w:val="7"/>
        </w:numPr>
        <w:ind w:hanging="540"/>
      </w:pPr>
      <w:r>
        <w:rPr>
          <w:sz w:val="24"/>
          <w:szCs w:val="24"/>
        </w:rPr>
        <w:t>Support the ORAFS Annual Meeting planning team in creating a safe, professional, inclusive environment for all meeting attendees.</w:t>
      </w:r>
    </w:p>
    <w:p w14:paraId="24060955" w14:textId="77777777" w:rsidR="001D10C8" w:rsidRDefault="0000000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Strengthen relationships with non-traditional ORAFS communities.</w:t>
      </w:r>
    </w:p>
    <w:p w14:paraId="312E9524" w14:textId="77777777" w:rsidR="001D10C8" w:rsidRDefault="0000000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Work towards assuring a professional diversity scholarship is awarded annually.</w:t>
      </w:r>
    </w:p>
    <w:p w14:paraId="631C5CC5" w14:textId="77777777" w:rsidR="001D10C8" w:rsidRDefault="0000000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Coordinate with Education and Outreach Committee to help distribute the annual educational grant opportunity to a wider network of educators.</w:t>
      </w:r>
    </w:p>
    <w:p w14:paraId="78D68AAC" w14:textId="10BE5BA1" w:rsidR="001D10C8" w:rsidRDefault="00000000" w:rsidP="0041062D">
      <w:pPr>
        <w:pStyle w:val="ListParagraph"/>
        <w:numPr>
          <w:ilvl w:val="0"/>
          <w:numId w:val="7"/>
        </w:numPr>
      </w:pPr>
      <w:r w:rsidRPr="0041062D">
        <w:rPr>
          <w:sz w:val="24"/>
          <w:szCs w:val="24"/>
        </w:rPr>
        <w:t xml:space="preserve">Explore opportunities to collaborate with other organizations in support of internships for under-represented minorities within or through the ORAFS Chapter.  </w:t>
      </w:r>
    </w:p>
    <w:p w14:paraId="71045B91" w14:textId="5421D9F0" w:rsidR="001D10C8" w:rsidRPr="0041062D" w:rsidRDefault="00000000" w:rsidP="004106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062D">
        <w:rPr>
          <w:sz w:val="24"/>
          <w:szCs w:val="24"/>
        </w:rPr>
        <w:t xml:space="preserve">Network and consult with Oregon Tribes, universities, non-profit and </w:t>
      </w:r>
      <w:proofErr w:type="gramStart"/>
      <w:r w:rsidRPr="0041062D">
        <w:rPr>
          <w:sz w:val="24"/>
          <w:szCs w:val="24"/>
        </w:rPr>
        <w:t>culturally-specific</w:t>
      </w:r>
      <w:proofErr w:type="gramEnd"/>
      <w:r w:rsidRPr="0041062D">
        <w:rPr>
          <w:sz w:val="24"/>
          <w:szCs w:val="24"/>
        </w:rPr>
        <w:t xml:space="preserve"> organizations to understand appropriate recruiting and outreach methods, which would strengthen the work of the DEI Committee, and the membership of ORAFS. Possible groups </w:t>
      </w:r>
      <w:proofErr w:type="gramStart"/>
      <w:r w:rsidRPr="0041062D">
        <w:rPr>
          <w:sz w:val="24"/>
          <w:szCs w:val="24"/>
        </w:rPr>
        <w:t>include, but</w:t>
      </w:r>
      <w:proofErr w:type="gramEnd"/>
      <w:r w:rsidRPr="0041062D">
        <w:rPr>
          <w:sz w:val="24"/>
          <w:szCs w:val="24"/>
        </w:rPr>
        <w:t xml:space="preserve"> are not limited to: the Native American Fish and Wildlife Society (NAFWS), American Indian Science and Engineering Society (AISES), Society for Advancement of Chicanos/Hispanics and Native Americans in Science (SACNAS), and Minorities in Agriculture, Natural Resources and Related Sciences (MANRSS), Soul River Inc. (SRI), and other DEI-supportive organizations</w:t>
      </w:r>
      <w:r w:rsidR="0041062D">
        <w:rPr>
          <w:sz w:val="24"/>
          <w:szCs w:val="24"/>
        </w:rPr>
        <w:t>.</w:t>
      </w:r>
    </w:p>
    <w:p w14:paraId="4F39AF94" w14:textId="77777777" w:rsidR="001D10C8" w:rsidRDefault="0000000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Revise ORAFS DEI webpage to improve content and expand resources available to current and potential members.</w:t>
      </w:r>
    </w:p>
    <w:p w14:paraId="73119BCD" w14:textId="77777777" w:rsidR="001D10C8" w:rsidRDefault="0000000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Identify several options for ORAFS membership to take DEI-supportive training (online or in person, and preferably free or inexpensive); advise the ORAFS membership of such training opportunities; and consider further incentives for members to avail themselves of such trainings.</w:t>
      </w:r>
    </w:p>
    <w:p w14:paraId="0592FBEA" w14:textId="77777777" w:rsidR="001D10C8" w:rsidRDefault="001D10C8">
      <w:pPr>
        <w:pStyle w:val="Standard"/>
      </w:pPr>
    </w:p>
    <w:sectPr w:rsidR="001D10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61B" w14:textId="77777777" w:rsidR="00876071" w:rsidRDefault="00876071">
      <w:pPr>
        <w:spacing w:after="0" w:line="240" w:lineRule="auto"/>
      </w:pPr>
      <w:r>
        <w:separator/>
      </w:r>
    </w:p>
  </w:endnote>
  <w:endnote w:type="continuationSeparator" w:id="0">
    <w:p w14:paraId="1C47ABAD" w14:textId="77777777" w:rsidR="00876071" w:rsidRDefault="0087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B95" w14:textId="77777777" w:rsidR="00876071" w:rsidRDefault="008760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19A6C" w14:textId="77777777" w:rsidR="00876071" w:rsidRDefault="0087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075"/>
    <w:multiLevelType w:val="multilevel"/>
    <w:tmpl w:val="108AD370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D340C31"/>
    <w:multiLevelType w:val="multilevel"/>
    <w:tmpl w:val="AE86B8E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AD6187"/>
    <w:multiLevelType w:val="multilevel"/>
    <w:tmpl w:val="874270E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6D6787A"/>
    <w:multiLevelType w:val="multilevel"/>
    <w:tmpl w:val="7FA08E2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74D346D"/>
    <w:multiLevelType w:val="multilevel"/>
    <w:tmpl w:val="088EA0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AE0BC4"/>
    <w:multiLevelType w:val="multilevel"/>
    <w:tmpl w:val="FC4A34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4841651"/>
    <w:multiLevelType w:val="multilevel"/>
    <w:tmpl w:val="CCD4619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54114990">
    <w:abstractNumId w:val="5"/>
  </w:num>
  <w:num w:numId="2" w16cid:durableId="913511909">
    <w:abstractNumId w:val="4"/>
  </w:num>
  <w:num w:numId="3" w16cid:durableId="1159997662">
    <w:abstractNumId w:val="3"/>
  </w:num>
  <w:num w:numId="4" w16cid:durableId="261769367">
    <w:abstractNumId w:val="0"/>
  </w:num>
  <w:num w:numId="5" w16cid:durableId="972490417">
    <w:abstractNumId w:val="2"/>
  </w:num>
  <w:num w:numId="6" w16cid:durableId="345594232">
    <w:abstractNumId w:val="6"/>
  </w:num>
  <w:num w:numId="7" w16cid:durableId="1544322986">
    <w:abstractNumId w:val="1"/>
  </w:num>
  <w:num w:numId="8" w16cid:durableId="212229130">
    <w:abstractNumId w:val="2"/>
    <w:lvlOverride w:ilvl="0">
      <w:startOverride w:val="1"/>
    </w:lvlOverride>
  </w:num>
  <w:num w:numId="9" w16cid:durableId="12438782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C8"/>
    <w:rsid w:val="001D10C8"/>
    <w:rsid w:val="0041062D"/>
    <w:rsid w:val="00876071"/>
    <w:rsid w:val="009875B8"/>
    <w:rsid w:val="00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DA8D"/>
  <w15:docId w15:val="{FFDF149D-38F7-4CD3-9208-77C13BC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Revision">
    <w:name w:val="Revision"/>
    <w:pPr>
      <w:widowControl/>
      <w:spacing w:after="0" w:line="240" w:lineRule="auto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afs.org/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Giannico, Guillermo Roberto</cp:lastModifiedBy>
  <cp:revision>2</cp:revision>
  <dcterms:created xsi:type="dcterms:W3CDTF">2023-06-29T19:15:00Z</dcterms:created>
  <dcterms:modified xsi:type="dcterms:W3CDTF">2023-06-29T19:15:00Z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